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eastAsia" w:ascii="黑体" w:hAnsi="黑体" w:eastAsia="黑体" w:cs="黑体"/>
          <w:spacing w:val="-10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pacing w:val="-10"/>
          <w:sz w:val="32"/>
          <w:szCs w:val="32"/>
          <w:lang w:val="en-US" w:eastAsia="zh-CN"/>
        </w:rPr>
        <w:t>附件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jc w:val="center"/>
        <w:textAlignment w:val="auto"/>
        <w:rPr>
          <w:rFonts w:hint="eastAsia" w:ascii="仿宋_GB2312" w:hAnsi="仿宋_GB2312" w:eastAsia="仿宋_GB2312" w:cs="仿宋_GB2312"/>
          <w:b/>
          <w:bCs/>
          <w:spacing w:val="-10"/>
          <w:sz w:val="36"/>
          <w:szCs w:val="36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jc w:val="center"/>
        <w:textAlignment w:val="auto"/>
        <w:rPr>
          <w:rFonts w:hint="eastAsia" w:ascii="仿宋_GB2312" w:hAnsi="仿宋_GB2312" w:eastAsia="仿宋_GB2312" w:cs="仿宋_GB2312"/>
          <w:b/>
          <w:bCs/>
          <w:spacing w:val="-10"/>
          <w:sz w:val="36"/>
          <w:szCs w:val="36"/>
          <w:lang w:val="en-US" w:eastAsia="zh-CN"/>
        </w:rPr>
      </w:pPr>
      <w:bookmarkStart w:id="0" w:name="_GoBack"/>
      <w:r>
        <w:rPr>
          <w:rFonts w:hint="eastAsia" w:ascii="仿宋_GB2312" w:hAnsi="仿宋_GB2312" w:eastAsia="仿宋_GB2312" w:cs="仿宋_GB2312"/>
          <w:b/>
          <w:bCs/>
          <w:spacing w:val="-10"/>
          <w:sz w:val="36"/>
          <w:szCs w:val="36"/>
          <w:lang w:val="en-US" w:eastAsia="zh-CN"/>
        </w:rPr>
        <w:t>福建省社科基金研究阐释省委十一届四次全会精神</w:t>
      </w:r>
    </w:p>
    <w:bookmarkEnd w:id="0"/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jc w:val="center"/>
        <w:textAlignment w:val="auto"/>
        <w:rPr>
          <w:rFonts w:hint="eastAsia" w:ascii="仿宋_GB2312" w:hAnsi="仿宋_GB2312" w:eastAsia="仿宋_GB2312" w:cs="仿宋_GB2312"/>
          <w:b/>
          <w:bCs/>
          <w:spacing w:val="-10"/>
          <w:sz w:val="36"/>
          <w:szCs w:val="36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spacing w:val="-10"/>
          <w:sz w:val="36"/>
          <w:szCs w:val="36"/>
          <w:lang w:val="en-US" w:eastAsia="zh-CN"/>
        </w:rPr>
        <w:t>和文化传承发展重大项目课题</w:t>
      </w:r>
      <w:r>
        <w:rPr>
          <w:rFonts w:hint="eastAsia" w:ascii="仿宋_GB2312" w:hAnsi="仿宋_GB2312" w:eastAsia="仿宋_GB2312" w:cs="仿宋_GB2312"/>
          <w:b/>
          <w:bCs/>
          <w:spacing w:val="-10"/>
          <w:sz w:val="36"/>
          <w:szCs w:val="36"/>
        </w:rPr>
        <w:t>指南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48" w:lineRule="auto"/>
        <w:ind w:firstLine="640" w:firstLineChars="200"/>
        <w:textAlignment w:val="auto"/>
        <w:rPr>
          <w:rFonts w:hint="eastAsia" w:ascii="仿宋_GB2312" w:hAnsi="仿宋_GB2312" w:eastAsia="仿宋_GB2312" w:cs="仿宋_GB2312"/>
          <w:spacing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b w:val="0"/>
          <w:bCs w:val="0"/>
          <w:spacing w:val="0"/>
          <w:sz w:val="32"/>
          <w:szCs w:val="32"/>
          <w:lang w:val="en-US" w:eastAsia="zh-CN"/>
        </w:rPr>
        <w:t>1.</w:t>
      </w:r>
      <w:r>
        <w:rPr>
          <w:rFonts w:hint="eastAsia" w:ascii="仿宋_GB2312" w:hAnsi="仿宋_GB2312" w:eastAsia="仿宋_GB2312" w:cs="仿宋_GB2312"/>
          <w:spacing w:val="0"/>
          <w:sz w:val="32"/>
          <w:szCs w:val="32"/>
        </w:rPr>
        <w:t>习近平</w:t>
      </w:r>
      <w:r>
        <w:rPr>
          <w:rFonts w:hint="eastAsia" w:ascii="仿宋_GB2312" w:hAnsi="仿宋_GB2312" w:eastAsia="仿宋_GB2312" w:cs="仿宋_GB2312"/>
          <w:spacing w:val="0"/>
          <w:sz w:val="32"/>
          <w:szCs w:val="32"/>
          <w:lang w:val="en-US" w:eastAsia="zh-CN"/>
        </w:rPr>
        <w:t>总书记</w:t>
      </w:r>
      <w:r>
        <w:rPr>
          <w:rFonts w:hint="eastAsia" w:ascii="仿宋_GB2312" w:hAnsi="仿宋_GB2312" w:eastAsia="仿宋_GB2312" w:cs="仿宋_GB2312"/>
          <w:spacing w:val="0"/>
          <w:sz w:val="32"/>
          <w:szCs w:val="32"/>
        </w:rPr>
        <w:t>关于文化建设的重要论述研究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48" w:lineRule="auto"/>
        <w:ind w:left="0" w:leftChars="0" w:firstLine="640" w:firstLineChars="200"/>
        <w:textAlignment w:val="auto"/>
        <w:rPr>
          <w:rFonts w:hint="eastAsia" w:ascii="仿宋_GB2312" w:hAnsi="仿宋_GB2312" w:eastAsia="仿宋_GB2312" w:cs="仿宋_GB2312"/>
          <w:spacing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spacing w:val="0"/>
          <w:sz w:val="32"/>
          <w:szCs w:val="32"/>
          <w:lang w:val="en-US" w:eastAsia="zh-CN"/>
        </w:rPr>
        <w:t>2.</w:t>
      </w:r>
      <w:r>
        <w:rPr>
          <w:rFonts w:hint="eastAsia" w:ascii="仿宋_GB2312" w:hAnsi="仿宋_GB2312" w:eastAsia="仿宋_GB2312" w:cs="仿宋_GB2312"/>
          <w:spacing w:val="0"/>
          <w:sz w:val="32"/>
          <w:szCs w:val="32"/>
        </w:rPr>
        <w:t>习近平总书记关于民营经济的重要论述研究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48" w:lineRule="auto"/>
        <w:ind w:left="0" w:leftChars="0" w:firstLine="640" w:firstLineChars="200"/>
        <w:textAlignment w:val="auto"/>
        <w:rPr>
          <w:rFonts w:hint="eastAsia" w:ascii="仿宋_GB2312" w:hAnsi="仿宋_GB2312" w:eastAsia="仿宋_GB2312" w:cs="仿宋_GB2312"/>
          <w:spacing w:val="0"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spacing w:val="0"/>
          <w:kern w:val="2"/>
          <w:sz w:val="32"/>
          <w:szCs w:val="32"/>
          <w:lang w:val="en-US" w:eastAsia="zh-CN" w:bidi="ar-SA"/>
        </w:rPr>
        <w:t>3.中华文明的突出特性研究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48" w:lineRule="auto"/>
        <w:ind w:firstLine="640" w:firstLineChars="200"/>
        <w:textAlignment w:val="auto"/>
        <w:rPr>
          <w:rFonts w:hint="eastAsia" w:ascii="仿宋_GB2312" w:hAnsi="仿宋_GB2312" w:eastAsia="仿宋_GB2312" w:cs="仿宋_GB2312"/>
          <w:spacing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spacing w:val="0"/>
          <w:sz w:val="32"/>
          <w:szCs w:val="32"/>
          <w:lang w:val="en-US" w:eastAsia="zh-CN"/>
        </w:rPr>
        <w:t>4.</w:t>
      </w:r>
      <w:r>
        <w:rPr>
          <w:rFonts w:hint="eastAsia" w:ascii="仿宋_GB2312" w:hAnsi="仿宋_GB2312" w:eastAsia="仿宋_GB2312" w:cs="仿宋_GB2312"/>
          <w:spacing w:val="0"/>
          <w:sz w:val="32"/>
          <w:szCs w:val="32"/>
        </w:rPr>
        <w:t>中国共产党推进中华文化传承发展的历史贡献与基本经验研究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48" w:lineRule="auto"/>
        <w:ind w:firstLine="640" w:firstLineChars="200"/>
        <w:textAlignment w:val="auto"/>
        <w:rPr>
          <w:rFonts w:hint="eastAsia" w:ascii="仿宋_GB2312" w:hAnsi="仿宋_GB2312" w:eastAsia="仿宋_GB2312" w:cs="仿宋_GB2312"/>
          <w:spacing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spacing w:val="0"/>
          <w:sz w:val="32"/>
          <w:szCs w:val="32"/>
          <w:lang w:val="en-US" w:eastAsia="zh-CN"/>
        </w:rPr>
        <w:t>5.</w:t>
      </w:r>
      <w:r>
        <w:rPr>
          <w:rFonts w:hint="eastAsia" w:ascii="仿宋_GB2312" w:hAnsi="仿宋_GB2312" w:eastAsia="仿宋_GB2312" w:cs="仿宋_GB2312"/>
          <w:spacing w:val="0"/>
          <w:sz w:val="32"/>
          <w:szCs w:val="32"/>
        </w:rPr>
        <w:t>“两个结合</w:t>
      </w:r>
      <w:r>
        <w:rPr>
          <w:rFonts w:hint="eastAsia" w:ascii="仿宋_GB2312" w:hAnsi="仿宋_GB2312" w:eastAsia="仿宋_GB2312" w:cs="仿宋_GB2312"/>
          <w:spacing w:val="0"/>
          <w:sz w:val="32"/>
          <w:szCs w:val="32"/>
          <w:lang w:eastAsia="zh-CN"/>
        </w:rPr>
        <w:t>”</w:t>
      </w:r>
      <w:r>
        <w:rPr>
          <w:rFonts w:hint="eastAsia" w:ascii="仿宋_GB2312" w:hAnsi="仿宋_GB2312" w:eastAsia="仿宋_GB2312" w:cs="仿宋_GB2312"/>
          <w:spacing w:val="0"/>
          <w:sz w:val="32"/>
          <w:szCs w:val="32"/>
        </w:rPr>
        <w:t>是开辟和发展中国特色社会主义的必由之路研究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48" w:lineRule="auto"/>
        <w:ind w:left="0" w:leftChars="0" w:firstLine="596" w:firstLineChars="200"/>
        <w:textAlignment w:val="auto"/>
        <w:rPr>
          <w:rFonts w:hint="eastAsia" w:ascii="仿宋_GB2312" w:hAnsi="仿宋_GB2312" w:eastAsia="仿宋_GB2312" w:cs="仿宋_GB2312"/>
          <w:spacing w:val="-11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pacing w:val="-11"/>
          <w:sz w:val="32"/>
          <w:szCs w:val="32"/>
          <w:lang w:val="en-US" w:eastAsia="zh-CN"/>
        </w:rPr>
        <w:t>6.马克思主义与中华优秀传统文化高度契合性研究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48" w:lineRule="auto"/>
        <w:ind w:firstLine="640" w:firstLineChars="200"/>
        <w:textAlignment w:val="auto"/>
        <w:rPr>
          <w:rFonts w:hint="eastAsia" w:ascii="仿宋_GB2312" w:hAnsi="仿宋_GB2312" w:eastAsia="仿宋_GB2312" w:cs="仿宋_GB2312"/>
          <w:spacing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spacing w:val="0"/>
          <w:sz w:val="32"/>
          <w:szCs w:val="32"/>
          <w:lang w:val="en-US" w:eastAsia="zh-CN"/>
        </w:rPr>
        <w:t>7.</w:t>
      </w:r>
      <w:r>
        <w:rPr>
          <w:rFonts w:hint="eastAsia" w:ascii="仿宋_GB2312" w:hAnsi="仿宋_GB2312" w:eastAsia="仿宋_GB2312" w:cs="仿宋_GB2312"/>
          <w:spacing w:val="0"/>
          <w:sz w:val="32"/>
          <w:szCs w:val="32"/>
        </w:rPr>
        <w:t>中国式现代化与中华优秀传统文化关系研究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48" w:lineRule="auto"/>
        <w:ind w:left="0" w:leftChars="0" w:firstLine="640" w:firstLineChars="200"/>
        <w:textAlignment w:val="auto"/>
        <w:rPr>
          <w:rFonts w:hint="eastAsia" w:ascii="仿宋_GB2312" w:hAnsi="仿宋_GB2312" w:eastAsia="仿宋_GB2312" w:cs="仿宋_GB2312"/>
          <w:spacing w:val="0"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spacing w:val="0"/>
          <w:kern w:val="2"/>
          <w:sz w:val="32"/>
          <w:szCs w:val="32"/>
          <w:lang w:val="en-US" w:eastAsia="zh-CN" w:bidi="ar-SA"/>
        </w:rPr>
        <w:t>8.中华民族现代文明的内涵与意义研究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48" w:lineRule="auto"/>
        <w:ind w:firstLine="640" w:firstLineChars="200"/>
        <w:textAlignment w:val="auto"/>
        <w:rPr>
          <w:rFonts w:hint="eastAsia" w:ascii="仿宋_GB2312" w:hAnsi="仿宋_GB2312" w:eastAsia="仿宋_GB2312" w:cs="仿宋_GB2312"/>
          <w:spacing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spacing w:val="0"/>
          <w:sz w:val="32"/>
          <w:szCs w:val="32"/>
          <w:lang w:val="en-US" w:eastAsia="zh-CN"/>
        </w:rPr>
        <w:t>9.建设</w:t>
      </w:r>
      <w:r>
        <w:rPr>
          <w:rFonts w:hint="eastAsia" w:ascii="仿宋_GB2312" w:hAnsi="仿宋_GB2312" w:eastAsia="仿宋_GB2312" w:cs="仿宋_GB2312"/>
          <w:spacing w:val="0"/>
          <w:sz w:val="32"/>
          <w:szCs w:val="32"/>
        </w:rPr>
        <w:t>中华民族现代文明的福建实践研究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48" w:lineRule="auto"/>
        <w:ind w:left="0" w:leftChars="0" w:firstLine="640" w:firstLineChars="200"/>
        <w:textAlignment w:val="auto"/>
        <w:rPr>
          <w:rFonts w:hint="eastAsia" w:ascii="仿宋_GB2312" w:hAnsi="仿宋_GB2312" w:eastAsia="仿宋_GB2312" w:cs="仿宋_GB2312"/>
          <w:spacing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spacing w:val="0"/>
          <w:sz w:val="32"/>
          <w:szCs w:val="32"/>
          <w:lang w:val="en-US" w:eastAsia="zh-CN"/>
        </w:rPr>
        <w:t>10.传承弘扬“</w:t>
      </w:r>
      <w:r>
        <w:rPr>
          <w:rFonts w:hint="eastAsia" w:ascii="仿宋_GB2312" w:hAnsi="仿宋_GB2312" w:eastAsia="仿宋_GB2312" w:cs="仿宋_GB2312"/>
          <w:spacing w:val="0"/>
          <w:sz w:val="32"/>
          <w:szCs w:val="32"/>
        </w:rPr>
        <w:t>晋江经验</w:t>
      </w:r>
      <w:r>
        <w:rPr>
          <w:rFonts w:hint="eastAsia" w:ascii="仿宋_GB2312" w:hAnsi="仿宋_GB2312" w:eastAsia="仿宋_GB2312" w:cs="仿宋_GB2312"/>
          <w:spacing w:val="0"/>
          <w:sz w:val="32"/>
          <w:szCs w:val="32"/>
          <w:lang w:val="en-US" w:eastAsia="zh-CN"/>
        </w:rPr>
        <w:t>”</w:t>
      </w:r>
      <w:r>
        <w:rPr>
          <w:rFonts w:hint="eastAsia" w:ascii="仿宋_GB2312" w:hAnsi="仿宋_GB2312" w:eastAsia="仿宋_GB2312" w:cs="仿宋_GB2312"/>
          <w:spacing w:val="0"/>
          <w:sz w:val="32"/>
          <w:szCs w:val="32"/>
        </w:rPr>
        <w:t>推动新时代民营经济强省</w:t>
      </w:r>
      <w:r>
        <w:rPr>
          <w:rFonts w:hint="eastAsia" w:ascii="仿宋_GB2312" w:hAnsi="仿宋_GB2312" w:eastAsia="仿宋_GB2312" w:cs="仿宋_GB2312"/>
          <w:spacing w:val="0"/>
          <w:sz w:val="32"/>
          <w:szCs w:val="32"/>
          <w:lang w:val="en-US" w:eastAsia="zh-CN"/>
        </w:rPr>
        <w:t>战略</w:t>
      </w:r>
      <w:r>
        <w:rPr>
          <w:rFonts w:hint="eastAsia" w:ascii="仿宋_GB2312" w:hAnsi="仿宋_GB2312" w:eastAsia="仿宋_GB2312" w:cs="仿宋_GB2312"/>
          <w:spacing w:val="0"/>
          <w:sz w:val="32"/>
          <w:szCs w:val="32"/>
        </w:rPr>
        <w:t>研究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48" w:lineRule="auto"/>
        <w:ind w:left="0" w:leftChars="0" w:firstLine="596" w:firstLineChars="200"/>
        <w:textAlignment w:val="auto"/>
        <w:rPr>
          <w:rFonts w:hint="eastAsia" w:ascii="仿宋_GB2312" w:hAnsi="仿宋_GB2312" w:eastAsia="仿宋_GB2312" w:cs="仿宋_GB2312"/>
          <w:spacing w:val="-11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pacing w:val="-11"/>
          <w:sz w:val="32"/>
          <w:szCs w:val="32"/>
          <w:lang w:val="en-US" w:eastAsia="zh-CN"/>
        </w:rPr>
        <w:t>11.福建省推动民营经济健康发展、高质量发展研究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48" w:lineRule="auto"/>
        <w:ind w:left="0" w:leftChars="0" w:firstLine="640" w:firstLineChars="200"/>
        <w:textAlignment w:val="auto"/>
        <w:rPr>
          <w:rFonts w:hint="eastAsia" w:ascii="仿宋_GB2312" w:hAnsi="仿宋_GB2312" w:eastAsia="仿宋_GB2312" w:cs="仿宋_GB2312"/>
          <w:spacing w:val="0"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spacing w:val="0"/>
          <w:kern w:val="2"/>
          <w:sz w:val="32"/>
          <w:szCs w:val="32"/>
          <w:lang w:val="en-US" w:eastAsia="zh-CN" w:bidi="ar-SA"/>
        </w:rPr>
        <w:t>12.营造支持福建省民营经济发展的一流营商环境研究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48" w:lineRule="auto"/>
        <w:ind w:left="0" w:leftChars="0" w:firstLine="596" w:firstLineChars="200"/>
        <w:textAlignment w:val="auto"/>
        <w:rPr>
          <w:rFonts w:hint="eastAsia" w:ascii="仿宋_GB2312" w:hAnsi="仿宋_GB2312" w:eastAsia="仿宋_GB2312" w:cs="仿宋_GB2312"/>
          <w:spacing w:val="-11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pacing w:val="-11"/>
          <w:sz w:val="32"/>
          <w:szCs w:val="32"/>
          <w:lang w:val="en-US" w:eastAsia="zh-CN"/>
        </w:rPr>
        <w:t>13.以创新驱动增添动能，</w:t>
      </w:r>
      <w:r>
        <w:rPr>
          <w:rFonts w:hint="eastAsia" w:ascii="仿宋_GB2312" w:hAnsi="仿宋_GB2312" w:eastAsia="仿宋_GB2312" w:cs="仿宋_GB2312"/>
          <w:spacing w:val="-11"/>
          <w:sz w:val="32"/>
          <w:szCs w:val="32"/>
        </w:rPr>
        <w:t>强化</w:t>
      </w:r>
      <w:r>
        <w:rPr>
          <w:rFonts w:hint="eastAsia" w:ascii="仿宋_GB2312" w:hAnsi="仿宋_GB2312" w:eastAsia="仿宋_GB2312" w:cs="仿宋_GB2312"/>
          <w:spacing w:val="-11"/>
          <w:sz w:val="32"/>
          <w:szCs w:val="32"/>
          <w:lang w:val="en-US" w:eastAsia="zh-CN"/>
        </w:rPr>
        <w:t>企业技术创新主体地位研究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48" w:lineRule="auto"/>
        <w:ind w:left="0" w:leftChars="0" w:firstLine="640" w:firstLineChars="200"/>
        <w:textAlignment w:val="auto"/>
        <w:rPr>
          <w:rFonts w:hint="eastAsia" w:ascii="仿宋_GB2312" w:hAnsi="仿宋_GB2312" w:eastAsia="仿宋_GB2312" w:cs="仿宋_GB2312"/>
          <w:spacing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spacing w:val="0"/>
          <w:sz w:val="32"/>
          <w:szCs w:val="32"/>
          <w:lang w:val="en-US" w:eastAsia="zh-CN"/>
        </w:rPr>
        <w:t>14.</w:t>
      </w:r>
      <w:r>
        <w:rPr>
          <w:rFonts w:hint="eastAsia" w:ascii="仿宋_GB2312" w:hAnsi="仿宋_GB2312" w:eastAsia="仿宋_GB2312" w:cs="仿宋_GB2312"/>
          <w:spacing w:val="0"/>
          <w:sz w:val="32"/>
          <w:szCs w:val="32"/>
        </w:rPr>
        <w:t>推动</w:t>
      </w:r>
      <w:r>
        <w:rPr>
          <w:rFonts w:hint="eastAsia" w:ascii="仿宋_GB2312" w:hAnsi="仿宋_GB2312" w:eastAsia="仿宋_GB2312" w:cs="仿宋_GB2312"/>
          <w:spacing w:val="0"/>
          <w:sz w:val="32"/>
          <w:szCs w:val="32"/>
          <w:lang w:val="en-US" w:eastAsia="zh-CN"/>
        </w:rPr>
        <w:t>福建</w:t>
      </w:r>
      <w:r>
        <w:rPr>
          <w:rFonts w:hint="eastAsia" w:ascii="仿宋_GB2312" w:hAnsi="仿宋_GB2312" w:eastAsia="仿宋_GB2312" w:cs="仿宋_GB2312"/>
          <w:spacing w:val="0"/>
          <w:sz w:val="32"/>
          <w:szCs w:val="32"/>
        </w:rPr>
        <w:t>民营</w:t>
      </w:r>
      <w:r>
        <w:rPr>
          <w:rFonts w:hint="eastAsia" w:ascii="仿宋_GB2312" w:hAnsi="仿宋_GB2312" w:eastAsia="仿宋_GB2312" w:cs="仿宋_GB2312"/>
          <w:spacing w:val="0"/>
          <w:sz w:val="32"/>
          <w:szCs w:val="32"/>
          <w:lang w:val="en-US" w:eastAsia="zh-CN"/>
        </w:rPr>
        <w:t>经济提质增效、转型升级、再创优势</w:t>
      </w:r>
      <w:r>
        <w:rPr>
          <w:rFonts w:hint="eastAsia" w:ascii="仿宋_GB2312" w:hAnsi="仿宋_GB2312" w:eastAsia="仿宋_GB2312" w:cs="仿宋_GB2312"/>
          <w:spacing w:val="0"/>
          <w:sz w:val="32"/>
          <w:szCs w:val="32"/>
        </w:rPr>
        <w:t>研究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48" w:lineRule="auto"/>
        <w:ind w:left="0" w:leftChars="0" w:firstLine="640" w:firstLineChars="200"/>
        <w:textAlignment w:val="auto"/>
        <w:rPr>
          <w:rFonts w:hint="eastAsia" w:ascii="仿宋_GB2312" w:hAnsi="仿宋_GB2312" w:eastAsia="仿宋_GB2312" w:cs="仿宋_GB2312"/>
          <w:spacing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spacing w:val="0"/>
          <w:sz w:val="32"/>
          <w:szCs w:val="32"/>
          <w:lang w:val="en-US" w:eastAsia="zh-CN"/>
        </w:rPr>
        <w:t>15.</w:t>
      </w:r>
      <w:r>
        <w:rPr>
          <w:rFonts w:hint="eastAsia" w:ascii="仿宋_GB2312" w:hAnsi="仿宋_GB2312" w:eastAsia="仿宋_GB2312" w:cs="仿宋_GB2312"/>
          <w:spacing w:val="0"/>
          <w:sz w:val="32"/>
          <w:szCs w:val="32"/>
        </w:rPr>
        <w:t>福建</w:t>
      </w:r>
      <w:r>
        <w:rPr>
          <w:rFonts w:hint="eastAsia" w:ascii="仿宋_GB2312" w:hAnsi="仿宋_GB2312" w:eastAsia="仿宋_GB2312" w:cs="仿宋_GB2312"/>
          <w:spacing w:val="0"/>
          <w:sz w:val="32"/>
          <w:szCs w:val="32"/>
          <w:lang w:val="en-US" w:eastAsia="zh-CN"/>
        </w:rPr>
        <w:t>省</w:t>
      </w:r>
      <w:r>
        <w:rPr>
          <w:rFonts w:hint="eastAsia" w:ascii="仿宋_GB2312" w:hAnsi="仿宋_GB2312" w:eastAsia="仿宋_GB2312" w:cs="仿宋_GB2312"/>
          <w:spacing w:val="0"/>
          <w:sz w:val="32"/>
          <w:szCs w:val="32"/>
        </w:rPr>
        <w:t>民营企业走好专精特新之路驱动产业高质量发展研究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48" w:lineRule="auto"/>
        <w:ind w:left="0" w:leftChars="0" w:firstLine="640" w:firstLineChars="200"/>
        <w:textAlignment w:val="auto"/>
        <w:rPr>
          <w:rFonts w:hint="eastAsia" w:ascii="仿宋_GB2312" w:hAnsi="仿宋_GB2312" w:eastAsia="仿宋_GB2312" w:cs="仿宋_GB2312"/>
          <w:spacing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spacing w:val="0"/>
          <w:sz w:val="32"/>
          <w:szCs w:val="32"/>
          <w:lang w:val="en-US" w:eastAsia="zh-CN"/>
        </w:rPr>
        <w:t>16.深入践行</w:t>
      </w:r>
      <w:r>
        <w:rPr>
          <w:rFonts w:hint="eastAsia" w:ascii="仿宋_GB2312" w:hAnsi="仿宋_GB2312" w:eastAsia="仿宋_GB2312" w:cs="仿宋_GB2312"/>
          <w:spacing w:val="0"/>
          <w:sz w:val="32"/>
          <w:szCs w:val="32"/>
        </w:rPr>
        <w:t>企业家精神</w:t>
      </w:r>
      <w:r>
        <w:rPr>
          <w:rFonts w:hint="eastAsia" w:ascii="仿宋_GB2312" w:hAnsi="仿宋_GB2312" w:eastAsia="仿宋_GB2312" w:cs="仿宋_GB2312"/>
          <w:spacing w:val="0"/>
          <w:sz w:val="32"/>
          <w:szCs w:val="32"/>
          <w:lang w:eastAsia="zh-CN"/>
        </w:rPr>
        <w:t>，</w:t>
      </w:r>
      <w:r>
        <w:rPr>
          <w:rFonts w:hint="eastAsia" w:ascii="仿宋_GB2312" w:hAnsi="仿宋_GB2312" w:eastAsia="仿宋_GB2312" w:cs="仿宋_GB2312"/>
          <w:spacing w:val="0"/>
          <w:sz w:val="32"/>
          <w:szCs w:val="32"/>
        </w:rPr>
        <w:t>讲好福建</w:t>
      </w:r>
      <w:r>
        <w:rPr>
          <w:rFonts w:hint="eastAsia" w:ascii="仿宋_GB2312" w:hAnsi="仿宋_GB2312" w:eastAsia="仿宋_GB2312" w:cs="仿宋_GB2312"/>
          <w:spacing w:val="0"/>
          <w:sz w:val="32"/>
          <w:szCs w:val="32"/>
          <w:lang w:val="en-US" w:eastAsia="zh-CN"/>
        </w:rPr>
        <w:t>省</w:t>
      </w:r>
      <w:r>
        <w:rPr>
          <w:rFonts w:hint="eastAsia" w:ascii="仿宋_GB2312" w:hAnsi="仿宋_GB2312" w:eastAsia="仿宋_GB2312" w:cs="仿宋_GB2312"/>
          <w:spacing w:val="0"/>
          <w:sz w:val="32"/>
          <w:szCs w:val="32"/>
        </w:rPr>
        <w:t>民营企业家故事研究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48" w:lineRule="auto"/>
        <w:ind w:left="0" w:leftChars="0" w:firstLine="640" w:firstLineChars="200"/>
        <w:textAlignment w:val="auto"/>
        <w:rPr>
          <w:rFonts w:hint="eastAsia" w:ascii="仿宋_GB2312" w:hAnsi="仿宋_GB2312" w:eastAsia="仿宋_GB2312" w:cs="仿宋_GB2312"/>
          <w:spacing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spacing w:val="0"/>
          <w:sz w:val="32"/>
          <w:szCs w:val="32"/>
          <w:lang w:val="en-US" w:eastAsia="zh-CN"/>
        </w:rPr>
        <w:t>17.</w:t>
      </w:r>
      <w:r>
        <w:rPr>
          <w:rFonts w:hint="eastAsia" w:ascii="仿宋_GB2312" w:hAnsi="仿宋_GB2312" w:eastAsia="仿宋_GB2312" w:cs="仿宋_GB2312"/>
          <w:spacing w:val="0"/>
          <w:sz w:val="32"/>
          <w:szCs w:val="32"/>
        </w:rPr>
        <w:t>新时代促进</w:t>
      </w:r>
      <w:r>
        <w:rPr>
          <w:rFonts w:hint="eastAsia" w:ascii="仿宋_GB2312" w:hAnsi="仿宋_GB2312" w:eastAsia="仿宋_GB2312" w:cs="仿宋_GB2312"/>
          <w:spacing w:val="0"/>
          <w:sz w:val="32"/>
          <w:szCs w:val="32"/>
          <w:lang w:val="en-US" w:eastAsia="zh-CN"/>
        </w:rPr>
        <w:t>福建省</w:t>
      </w:r>
      <w:r>
        <w:rPr>
          <w:rFonts w:hint="eastAsia" w:ascii="仿宋_GB2312" w:hAnsi="仿宋_GB2312" w:eastAsia="仿宋_GB2312" w:cs="仿宋_GB2312"/>
          <w:spacing w:val="0"/>
          <w:sz w:val="32"/>
          <w:szCs w:val="32"/>
        </w:rPr>
        <w:t>民营文化旅游企业健康发展研究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48" w:lineRule="auto"/>
        <w:ind w:left="0" w:leftChars="0" w:firstLine="640" w:firstLineChars="200"/>
        <w:textAlignment w:val="auto"/>
        <w:rPr>
          <w:rFonts w:hint="eastAsia" w:ascii="仿宋_GB2312" w:hAnsi="仿宋_GB2312" w:eastAsia="仿宋_GB2312" w:cs="仿宋_GB2312"/>
          <w:spacing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spacing w:val="0"/>
          <w:sz w:val="32"/>
          <w:szCs w:val="32"/>
          <w:lang w:val="en-US" w:eastAsia="zh-CN"/>
        </w:rPr>
        <w:t>18.</w:t>
      </w:r>
      <w:r>
        <w:rPr>
          <w:rFonts w:hint="eastAsia" w:ascii="仿宋_GB2312" w:hAnsi="仿宋_GB2312" w:eastAsia="仿宋_GB2312" w:cs="仿宋_GB2312"/>
          <w:spacing w:val="0"/>
          <w:sz w:val="32"/>
          <w:szCs w:val="32"/>
        </w:rPr>
        <w:t>推进</w:t>
      </w:r>
      <w:r>
        <w:rPr>
          <w:rFonts w:hint="eastAsia" w:ascii="仿宋_GB2312" w:hAnsi="仿宋_GB2312" w:eastAsia="仿宋_GB2312" w:cs="仿宋_GB2312"/>
          <w:spacing w:val="0"/>
          <w:sz w:val="32"/>
          <w:szCs w:val="32"/>
          <w:lang w:val="en-US" w:eastAsia="zh-CN"/>
        </w:rPr>
        <w:t>福建省</w:t>
      </w:r>
      <w:r>
        <w:rPr>
          <w:rFonts w:hint="eastAsia" w:ascii="仿宋_GB2312" w:hAnsi="仿宋_GB2312" w:eastAsia="仿宋_GB2312" w:cs="仿宋_GB2312"/>
          <w:spacing w:val="0"/>
          <w:sz w:val="32"/>
          <w:szCs w:val="32"/>
        </w:rPr>
        <w:t>民营企业数字化转型研究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48" w:lineRule="auto"/>
        <w:ind w:left="0" w:leftChars="0" w:firstLine="640" w:firstLineChars="200"/>
        <w:textAlignment w:val="auto"/>
        <w:rPr>
          <w:rFonts w:hint="eastAsia" w:ascii="仿宋_GB2312" w:hAnsi="仿宋_GB2312" w:eastAsia="仿宋_GB2312" w:cs="仿宋_GB2312"/>
          <w:spacing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spacing w:val="0"/>
          <w:sz w:val="32"/>
          <w:szCs w:val="32"/>
          <w:lang w:val="en-US" w:eastAsia="zh-CN"/>
        </w:rPr>
        <w:t>19.</w:t>
      </w:r>
      <w:r>
        <w:rPr>
          <w:rFonts w:hint="eastAsia" w:ascii="仿宋_GB2312" w:hAnsi="仿宋_GB2312" w:eastAsia="仿宋_GB2312" w:cs="仿宋_GB2312"/>
          <w:spacing w:val="0"/>
          <w:sz w:val="32"/>
          <w:szCs w:val="32"/>
        </w:rPr>
        <w:t>优化</w:t>
      </w:r>
      <w:r>
        <w:rPr>
          <w:rFonts w:hint="eastAsia" w:ascii="仿宋_GB2312" w:hAnsi="仿宋_GB2312" w:eastAsia="仿宋_GB2312" w:cs="仿宋_GB2312"/>
          <w:spacing w:val="0"/>
          <w:sz w:val="32"/>
          <w:szCs w:val="32"/>
          <w:lang w:val="en-US" w:eastAsia="zh-CN"/>
        </w:rPr>
        <w:t>福建省</w:t>
      </w:r>
      <w:r>
        <w:rPr>
          <w:rFonts w:hint="eastAsia" w:ascii="仿宋_GB2312" w:hAnsi="仿宋_GB2312" w:eastAsia="仿宋_GB2312" w:cs="仿宋_GB2312"/>
          <w:spacing w:val="0"/>
          <w:sz w:val="32"/>
          <w:szCs w:val="32"/>
        </w:rPr>
        <w:t>民营企业创新融资服务研究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48" w:lineRule="auto"/>
        <w:ind w:firstLine="640" w:firstLineChars="200"/>
        <w:textAlignment w:val="auto"/>
        <w:rPr>
          <w:rFonts w:hint="eastAsia" w:ascii="仿宋_GB2312" w:hAnsi="仿宋_GB2312" w:eastAsia="仿宋_GB2312" w:cs="仿宋_GB2312"/>
          <w:spacing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spacing w:val="0"/>
          <w:kern w:val="2"/>
          <w:sz w:val="32"/>
          <w:szCs w:val="32"/>
          <w:lang w:val="en-US" w:eastAsia="zh-CN" w:bidi="ar-SA"/>
        </w:rPr>
        <w:t>20.加大金融服务供给，持续提升服务福建省民营企业质效研究</w:t>
      </w: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zY4ZGUzZmEwMTg1MjAxMTJkNGViNTA5MmY4ZGEzZTYifQ=="/>
  </w:docVars>
  <w:rsids>
    <w:rsidRoot w:val="43506A9E"/>
    <w:rsid w:val="43506A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qFormat="1" w:unhideWhenUsed="0" w:uiPriority="0" w:semiHidden="0" w:name="List 2"/>
    <w:lsdException w:qFormat="1"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iPriority="0" w:semiHidden="0" w:name="Body Text First Indent 2"/>
    <w:lsdException w:unhideWhenUsed="0" w:uiPriority="0" w:semiHidden="0" w:name="Note Heading"/>
    <w:lsdException w:qFormat="1"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10">
    <w:name w:val="Default Paragraph Font"/>
    <w:semiHidden/>
    <w:uiPriority w:val="0"/>
  </w:style>
  <w:style w:type="table" w:default="1" w:styleId="9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First Indent 2"/>
    <w:basedOn w:val="3"/>
    <w:unhideWhenUsed/>
    <w:qFormat/>
    <w:uiPriority w:val="0"/>
    <w:pPr>
      <w:ind w:firstLine="420" w:firstLineChars="200"/>
    </w:pPr>
    <w:rPr>
      <w:rFonts w:ascii="Times New Roman" w:hAnsi="Times New Roman" w:eastAsia="宋体" w:cs="Times New Roman"/>
      <w:sz w:val="32"/>
      <w:szCs w:val="24"/>
    </w:rPr>
  </w:style>
  <w:style w:type="paragraph" w:styleId="3">
    <w:name w:val="Body Text Indent"/>
    <w:basedOn w:val="1"/>
    <w:next w:val="4"/>
    <w:qFormat/>
    <w:uiPriority w:val="0"/>
    <w:pPr>
      <w:spacing w:after="120"/>
      <w:ind w:left="420" w:leftChars="200"/>
    </w:pPr>
  </w:style>
  <w:style w:type="paragraph" w:styleId="4">
    <w:name w:val="Body Text 2"/>
    <w:basedOn w:val="1"/>
    <w:next w:val="5"/>
    <w:qFormat/>
    <w:uiPriority w:val="0"/>
    <w:rPr>
      <w:sz w:val="24"/>
      <w:szCs w:val="24"/>
    </w:rPr>
  </w:style>
  <w:style w:type="paragraph" w:styleId="5">
    <w:name w:val="List 2"/>
    <w:basedOn w:val="1"/>
    <w:next w:val="6"/>
    <w:qFormat/>
    <w:uiPriority w:val="0"/>
    <w:pPr>
      <w:ind w:left="100" w:leftChars="200" w:hanging="200" w:hangingChars="200"/>
    </w:pPr>
  </w:style>
  <w:style w:type="paragraph" w:styleId="6">
    <w:name w:val="List 3"/>
    <w:basedOn w:val="1"/>
    <w:next w:val="7"/>
    <w:qFormat/>
    <w:uiPriority w:val="0"/>
    <w:pPr>
      <w:ind w:left="100" w:firstLine="3640"/>
    </w:pPr>
  </w:style>
  <w:style w:type="paragraph" w:styleId="7">
    <w:name w:val="Body Text"/>
    <w:basedOn w:val="1"/>
    <w:next w:val="8"/>
    <w:qFormat/>
    <w:uiPriority w:val="0"/>
    <w:pPr>
      <w:spacing w:after="120"/>
    </w:pPr>
  </w:style>
  <w:style w:type="paragraph" w:customStyle="1" w:styleId="8">
    <w:name w:val="标准"/>
    <w:basedOn w:val="1"/>
    <w:next w:val="1"/>
    <w:qFormat/>
    <w:uiPriority w:val="0"/>
    <w:pPr>
      <w:spacing w:before="120" w:after="120" w:line="312" w:lineRule="atLeast"/>
      <w:ind w:firstLine="3584"/>
    </w:p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Office_12.1.0.15374_F1E327BC-269C-435d-A152-05C5408002CA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2023-09-18T09:57:00Z</dcterms:created>
  <dc:creator>zdcdg</dc:creator>
  <cp:lastModifiedBy>zdcdg</cp:lastModifiedBy>
  <dcterms:modified xsi:type="dcterms:W3CDTF">2023-09-18T09:58:01Z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2052-12.1.0.15374</vt:lpwstr>
  </property>
  <property fmtid="{D5CDD505-2E9C-101B-9397-08002B2CF9AE}" pid="3" name="ICV">
    <vt:lpwstr>D867913E52174D1BB303A15BBC81CBD2_11</vt:lpwstr>
  </property>
</Properties>
</file>